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left"/>
        <w:rPr>
          <w:rFonts w:ascii="Times New Roman" w:hAnsi="Times New Roman" w:eastAsia="黑体"/>
          <w:szCs w:val="32"/>
        </w:rPr>
      </w:pPr>
      <w:r>
        <w:rPr>
          <w:rFonts w:hint="eastAsia" w:ascii="Times New Roman" w:hAnsi="Times New Roman" w:eastAsia="黑体"/>
          <w:szCs w:val="32"/>
        </w:rPr>
        <w:t>附件2</w:t>
      </w:r>
    </w:p>
    <w:p>
      <w:pPr>
        <w:pStyle w:val="2"/>
        <w:spacing w:line="520" w:lineRule="exact"/>
        <w:ind w:firstLine="0" w:firstLineChars="0"/>
        <w:jc w:val="center"/>
        <w:rPr>
          <w:rFonts w:ascii="黑体" w:hAnsi="黑体" w:eastAsia="黑体" w:cs="方正小标宋简体"/>
          <w:sz w:val="36"/>
          <w:szCs w:val="36"/>
        </w:rPr>
      </w:pPr>
      <w:r>
        <w:rPr>
          <w:rFonts w:hint="eastAsia" w:ascii="黑体" w:hAnsi="黑体" w:eastAsia="黑体" w:cs="方正小标宋简体"/>
          <w:sz w:val="36"/>
          <w:szCs w:val="36"/>
        </w:rPr>
        <w:t>陕西省纪委监委公开通报5起</w:t>
      </w:r>
    </w:p>
    <w:p>
      <w:pPr>
        <w:pStyle w:val="2"/>
        <w:spacing w:line="520" w:lineRule="exact"/>
        <w:ind w:firstLine="0" w:firstLineChars="0"/>
        <w:jc w:val="center"/>
        <w:rPr>
          <w:rFonts w:ascii="黑体" w:hAnsi="黑体" w:eastAsia="黑体" w:cs="方正小标宋简体"/>
          <w:sz w:val="36"/>
          <w:szCs w:val="36"/>
        </w:rPr>
      </w:pPr>
      <w:r>
        <w:rPr>
          <w:rFonts w:hint="eastAsia" w:ascii="黑体" w:hAnsi="黑体" w:eastAsia="黑体" w:cs="方正小标宋简体"/>
          <w:sz w:val="36"/>
          <w:szCs w:val="36"/>
        </w:rPr>
        <w:t>违反中央八项规定精神典型问题</w:t>
      </w:r>
    </w:p>
    <w:p>
      <w:pPr>
        <w:pStyle w:val="2"/>
        <w:spacing w:line="520" w:lineRule="exact"/>
        <w:ind w:firstLine="640"/>
        <w:rPr>
          <w:rFonts w:ascii="Times New Roman" w:hAnsi="Times New Roman" w:cs="Times New Roman"/>
        </w:rPr>
      </w:pPr>
    </w:p>
    <w:p>
      <w:pPr>
        <w:pStyle w:val="2"/>
        <w:spacing w:line="520" w:lineRule="exact"/>
        <w:ind w:firstLine="640"/>
        <w:rPr>
          <w:rFonts w:ascii="Times New Roman" w:hAnsi="Times New Roman" w:eastAsia="仿宋_GB2312" w:cs="仿宋_GB2312"/>
        </w:rPr>
      </w:pPr>
      <w:r>
        <w:rPr>
          <w:rFonts w:hint="eastAsia" w:ascii="Times New Roman" w:hAnsi="Times New Roman" w:cs="Times New Roman"/>
        </w:rPr>
        <w:t xml:space="preserve"> </w:t>
      </w:r>
      <w:r>
        <w:rPr>
          <w:rFonts w:hint="eastAsia" w:ascii="Times New Roman" w:hAnsi="Times New Roman" w:eastAsia="仿宋_GB2312" w:cs="仿宋_GB2312"/>
        </w:rPr>
        <w:t>日前，陕西省纪委监委对5起违反中央八项规定精神典型问题进行公开通报。具体如下：</w:t>
      </w:r>
    </w:p>
    <w:p>
      <w:pPr>
        <w:pStyle w:val="2"/>
        <w:spacing w:line="520" w:lineRule="exact"/>
        <w:ind w:firstLine="640"/>
        <w:rPr>
          <w:rFonts w:ascii="Times New Roman" w:hAnsi="Times New Roman" w:eastAsia="仿宋_GB2312" w:cs="仿宋_GB2312"/>
        </w:rPr>
      </w:pPr>
      <w:r>
        <w:rPr>
          <w:rFonts w:hint="eastAsia" w:ascii="Times New Roman" w:hAnsi="Times New Roman" w:eastAsia="黑体" w:cs="Times New Roman"/>
        </w:rPr>
        <w:t>1. 永安财产保险股份有限公司原党委书记、董事长陶光强违规收受礼金礼品、借用管理和服务对象车辆问题。</w:t>
      </w:r>
      <w:r>
        <w:rPr>
          <w:rFonts w:hint="eastAsia" w:ascii="Times New Roman" w:hAnsi="Times New Roman" w:eastAsia="仿宋_GB2312" w:cs="仿宋_GB2312"/>
        </w:rPr>
        <w:t>2013年春节至2021年春节，陶光强先后违规收受管理和服务对象等16人所送礼金礼品，折合共计29.9万元。2017年下半年至2021年1月、2012年7月至2021年5月，陶光强分别借用2名管理和服务对象轿车各一辆，供其本人和家人长期使用。陶光强还存在其他严重违纪违法问题。2022年3月，陶光强受到开除党籍、政务撤职处分，按管理序列六级确定其职务，违纪违法所得被收缴。</w:t>
      </w:r>
    </w:p>
    <w:p>
      <w:pPr>
        <w:pStyle w:val="2"/>
        <w:spacing w:line="520" w:lineRule="exact"/>
        <w:ind w:firstLine="640"/>
        <w:rPr>
          <w:rFonts w:ascii="Times New Roman" w:hAnsi="Times New Roman" w:eastAsia="仿宋_GB2312" w:cs="仿宋_GB2312"/>
        </w:rPr>
      </w:pPr>
      <w:r>
        <w:rPr>
          <w:rFonts w:hint="eastAsia" w:ascii="Times New Roman" w:hAnsi="Times New Roman" w:eastAsia="黑体" w:cs="Times New Roman"/>
        </w:rPr>
        <w:t>2. 汉中市委原常委、统战部部长党振清违规收受礼金礼品、接受可能影响公正执行公务的宴请问题。</w:t>
      </w:r>
      <w:r>
        <w:rPr>
          <w:rFonts w:hint="eastAsia" w:ascii="Times New Roman" w:hAnsi="Times New Roman" w:eastAsia="仿宋_GB2312" w:cs="仿宋_GB2312"/>
        </w:rPr>
        <w:t>2009年至2019年，党振清先后违规收受管理和服务对象等17人所送礼金28万元、美元0.2万元、价值2万美元的手表一块、高档白酒4箱，折合共计57.62万元。2008年至2018年，党振清先后多次违规接受私营企业主安排的宴请，并饮用高档酒水。党振清还存在其他严重违纪违法问题。2020年5月，党振清受到开除党籍、开除公职处分，违纪违法所得被收缴，其涉嫌犯罪问题被移送检察机关依法审查起诉。</w:t>
      </w:r>
    </w:p>
    <w:p>
      <w:pPr>
        <w:pStyle w:val="2"/>
        <w:spacing w:line="520" w:lineRule="exact"/>
        <w:ind w:firstLine="640"/>
        <w:rPr>
          <w:rFonts w:ascii="Times New Roman" w:hAnsi="Times New Roman" w:eastAsia="仿宋_GB2312" w:cs="仿宋_GB2312"/>
        </w:rPr>
      </w:pPr>
      <w:r>
        <w:rPr>
          <w:rFonts w:hint="eastAsia" w:ascii="Times New Roman" w:hAnsi="Times New Roman" w:eastAsia="黑体" w:cs="Times New Roman"/>
        </w:rPr>
        <w:t xml:space="preserve"> 3. 安康市瀛湖生态旅游区管委会原副主任唐明成接受可能影响公正执行公务的旅游活动安排问题。</w:t>
      </w:r>
      <w:r>
        <w:rPr>
          <w:rFonts w:hint="eastAsia" w:ascii="Times New Roman" w:hAnsi="Times New Roman" w:eastAsia="仿宋_GB2312" w:cs="仿宋_GB2312"/>
        </w:rPr>
        <w:t>2017年春节期间、2018年5月、2019年春节期间，唐明成及其家人接受管理和服务对象的安排，先后3次赴广东深圳、重庆武隆、广西桂林等地旅游，住宿、交通等旅游花费的27950元均由管理和服务对象支付。唐明成还存在其他严重违纪违法问题。2020年7月，唐明成受到开除党籍、开除公职处分，违纪违法所得被收缴，其涉嫌犯罪问题被移送检察机关依法审查起诉。</w:t>
      </w:r>
    </w:p>
    <w:p>
      <w:pPr>
        <w:pStyle w:val="2"/>
        <w:spacing w:line="520" w:lineRule="exact"/>
        <w:ind w:firstLine="640"/>
        <w:rPr>
          <w:rFonts w:ascii="Times New Roman" w:hAnsi="Times New Roman" w:eastAsia="仿宋_GB2312" w:cs="仿宋_GB2312"/>
        </w:rPr>
      </w:pPr>
      <w:r>
        <w:rPr>
          <w:rFonts w:hint="eastAsia" w:ascii="Times New Roman" w:hAnsi="Times New Roman" w:eastAsia="黑体" w:cs="Times New Roman"/>
        </w:rPr>
        <w:t xml:space="preserve"> 4. 商洛市公安局原副局长乔凤鸣违规收受礼金礼品、接受可能影响公正执行公务的旅游活动安排问题。</w:t>
      </w:r>
      <w:r>
        <w:rPr>
          <w:rFonts w:hint="eastAsia" w:ascii="Times New Roman" w:hAnsi="Times New Roman" w:eastAsia="仿宋_GB2312" w:cs="仿宋_GB2312"/>
        </w:rPr>
        <w:t>2014年12月至2021年3月，乔凤鸣先后违规收受管理和服务对象等8人所送礼金礼品，折合共计10.82万元。2018年国庆节期间和2019年“五一”期间，乔凤鸣接受管理和服务对象的安排，前往杭州和大连旅游11天，旅游期间花费3万余元均由管理和服务对象支付。乔凤鸣还存在其他严重违纪违法问题。2021年8月，乔凤鸣受到开除党籍、开除公职处分，违纪违法所得被收缴，其涉嫌犯罪问题被移送检察机关依法审查起诉。</w:t>
      </w:r>
    </w:p>
    <w:p>
      <w:pPr>
        <w:ind w:left="0" w:leftChars="0" w:firstLine="0" w:firstLineChars="0"/>
        <w:jc w:val="left"/>
      </w:pPr>
      <w:r>
        <w:rPr>
          <w:rFonts w:hint="eastAsia" w:ascii="Times New Roman" w:hAnsi="Times New Roman" w:eastAsia="仿宋_GB2312" w:cs="仿宋_GB2312"/>
        </w:rPr>
        <w:t xml:space="preserve"> </w:t>
      </w:r>
      <w:r>
        <w:rPr>
          <w:rFonts w:hint="eastAsia" w:ascii="Times New Roman" w:hAnsi="Times New Roman" w:eastAsia="黑体" w:cs="Times New Roman"/>
        </w:rPr>
        <w:t>5. 榆林市公益电影服务中心主任、榆林新农村数字电影院线有限公司总经理李晓春公款绕道旅游问题。</w:t>
      </w:r>
      <w:r>
        <w:rPr>
          <w:rFonts w:hint="eastAsia" w:ascii="Times New Roman" w:hAnsi="Times New Roman" w:eastAsia="仿宋_GB2312" w:cs="仿宋_GB2312"/>
        </w:rPr>
        <w:t>2020年9月11日，受山东某电影家协会邀请，李晓春带领榆林新农村数字电影院线有限公司7名员工和其妻子前往山东威海市参加某电影观摩活动。活动结束后，李晓春等一行9人于9月13日至15日先后绕道山东省蓬莱岛、青岛崂山、泰安泰山等景区游玩，绕道旅游期间所产生的食宿、租车费用共计10573元在单位予以报销。2021年11月，李晓春受到党内警告处分，违纪资金被收缴。</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auto"/>
    <w:pitch w:val="default"/>
    <w:sig w:usb0="00000000" w:usb1="0000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黑体"/>
    <w:panose1 w:val="00000000000000000000"/>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163130"/>
    <w:rsid w:val="0E1A2541"/>
    <w:rsid w:val="29DD5224"/>
    <w:rsid w:val="2E703111"/>
    <w:rsid w:val="35CB1DF8"/>
    <w:rsid w:val="3ADE297D"/>
    <w:rsid w:val="4F6D0AB1"/>
    <w:rsid w:val="524F3EFC"/>
    <w:rsid w:val="5BAF14A0"/>
    <w:rsid w:val="6DB72442"/>
    <w:rsid w:val="6FAE4E4A"/>
    <w:rsid w:val="73EA78A4"/>
    <w:rsid w:val="7A087A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napToGrid w:val="0"/>
      <w:spacing w:line="338" w:lineRule="auto"/>
      <w:jc w:val="both"/>
    </w:pPr>
    <w:rPr>
      <w:rFonts w:ascii="Calibri" w:hAnsi="Calibri" w:eastAsia="仿宋_GB2312" w:cs="黑体"/>
      <w:kern w:val="2"/>
      <w:sz w:val="32"/>
      <w:szCs w:val="22"/>
      <w:lang w:val="en-US" w:eastAsia="zh-CN" w:bidi="ar-SA"/>
    </w:rPr>
  </w:style>
  <w:style w:type="paragraph" w:styleId="3">
    <w:name w:val="heading 1"/>
    <w:basedOn w:val="1"/>
    <w:next w:val="1"/>
    <w:qFormat/>
    <w:uiPriority w:val="0"/>
    <w:pPr>
      <w:spacing w:before="100" w:beforeLines="100" w:beforeAutospacing="0" w:after="0" w:afterAutospacing="0"/>
      <w:ind w:firstLine="0" w:firstLineChars="0"/>
      <w:jc w:val="center"/>
      <w:outlineLvl w:val="0"/>
    </w:pPr>
    <w:rPr>
      <w:rFonts w:hint="eastAsia" w:ascii="宋体" w:hAnsi="宋体" w:eastAsia="宋体" w:cs="宋体"/>
      <w:b/>
      <w:kern w:val="44"/>
      <w:szCs w:val="48"/>
      <w:lang w:bidi="ar"/>
    </w:rPr>
  </w:style>
  <w:style w:type="paragraph" w:styleId="4">
    <w:name w:val="heading 2"/>
    <w:basedOn w:val="1"/>
    <w:next w:val="1"/>
    <w:link w:val="7"/>
    <w:semiHidden/>
    <w:unhideWhenUsed/>
    <w:qFormat/>
    <w:uiPriority w:val="0"/>
    <w:pPr>
      <w:spacing w:line="240" w:lineRule="auto"/>
      <w:ind w:firstLine="640" w:firstLineChars="200"/>
      <w:outlineLvl w:val="1"/>
    </w:pPr>
    <w:rPr>
      <w:rFonts w:ascii="Arial" w:hAnsi="Arial" w:eastAsia="楷体" w:cs="Arial"/>
      <w:color w:val="000000"/>
      <w:szCs w:val="32"/>
    </w:rPr>
  </w:style>
  <w:style w:type="character" w:default="1" w:styleId="6">
    <w:name w:val="Default Paragraph Font"/>
    <w:semiHidden/>
    <w:unhideWhenUsed/>
    <w:uiPriority w:val="1"/>
  </w:style>
  <w:style w:type="table" w:default="1" w:styleId="5">
    <w:name w:val="Normal Table"/>
    <w:semiHidden/>
    <w:uiPriority w:val="0"/>
    <w:tblPr>
      <w:tblCellMar>
        <w:top w:w="0" w:type="dxa"/>
        <w:left w:w="108" w:type="dxa"/>
        <w:bottom w:w="0" w:type="dxa"/>
        <w:right w:w="108" w:type="dxa"/>
      </w:tblCellMar>
    </w:tblPr>
  </w:style>
  <w:style w:type="paragraph" w:styleId="2">
    <w:name w:val="Normal Indent"/>
    <w:basedOn w:val="1"/>
    <w:qFormat/>
    <w:uiPriority w:val="0"/>
    <w:pPr>
      <w:ind w:firstLine="200" w:firstLineChars="200"/>
    </w:pPr>
    <w:rPr>
      <w:rFonts w:eastAsia="楷体_GB2312"/>
    </w:rPr>
  </w:style>
  <w:style w:type="character" w:customStyle="1" w:styleId="7">
    <w:name w:val="标题 2 Char"/>
    <w:basedOn w:val="6"/>
    <w:link w:val="4"/>
    <w:semiHidden/>
    <w:qFormat/>
    <w:uiPriority w:val="0"/>
    <w:rPr>
      <w:rFonts w:ascii="Arial" w:hAnsi="Arial" w:eastAsia="楷体" w:cs="Arial"/>
      <w:color w:val="000000"/>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2022-02-18T02:21:00Z</dcterms:created>
  <dc:creator>dell</dc:creator>
  <cp:lastModifiedBy>愣头青</cp:lastModifiedBy>
  <dcterms:modified xsi:type="dcterms:W3CDTF">2022-05-06T00:41:09Z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